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</w:t>
      </w:r>
      <w:r w:rsidR="00244DCB">
        <w:rPr>
          <w:u w:val="single"/>
        </w:rPr>
        <w:t>10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244DCB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244DCB">
        <w:rPr>
          <w:rFonts w:ascii="Times New Roman" w:hAnsi="Times New Roman" w:cs="Times New Roman"/>
          <w:sz w:val="24"/>
          <w:szCs w:val="24"/>
        </w:rPr>
        <w:t>For each year 2017 through 2020, please provide in Excel format, by generating unit and FERC account, the projected major overhaul expense, on a Total Company and Texas jurisdictional basis.  For the Palo Verde units, the Total Company amount should reflect EPE’s share of costs.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997E35" w:rsidRDefault="00A54788" w:rsidP="00A54788">
      <w:pPr>
        <w:pStyle w:val="Default"/>
        <w:ind w:left="540"/>
        <w:jc w:val="both"/>
      </w:pPr>
      <w:r>
        <w:t xml:space="preserve">Please see TIEC 3-10 Attachment 1 </w:t>
      </w:r>
      <w:r w:rsidR="00072973">
        <w:t xml:space="preserve">Confidential </w:t>
      </w:r>
      <w:r>
        <w:t>for</w:t>
      </w:r>
      <w:r w:rsidRPr="00244DCB">
        <w:t xml:space="preserve"> the projected major overhaul expense, on a Total Company and Texas jurisdictional basis</w:t>
      </w:r>
      <w:r>
        <w:t xml:space="preserve"> for the local generation units. </w:t>
      </w:r>
    </w:p>
    <w:p w:rsidR="00A54788" w:rsidRDefault="00A54788" w:rsidP="00A54788">
      <w:pPr>
        <w:pStyle w:val="Default"/>
        <w:ind w:left="540"/>
        <w:jc w:val="both"/>
      </w:pPr>
    </w:p>
    <w:p w:rsidR="00A54788" w:rsidRDefault="000E5D44" w:rsidP="00A54788">
      <w:pPr>
        <w:pStyle w:val="Default"/>
        <w:ind w:left="540"/>
        <w:jc w:val="both"/>
      </w:pPr>
      <w:r>
        <w:t xml:space="preserve">Please refer to TIEC </w:t>
      </w:r>
      <w:proofErr w:type="gramStart"/>
      <w:r>
        <w:t>3-8</w:t>
      </w:r>
      <w:r w:rsidR="00A54788">
        <w:t xml:space="preserve"> Attachment 2 for</w:t>
      </w:r>
      <w:r w:rsidR="00A54788" w:rsidRPr="00244DCB">
        <w:t xml:space="preserve"> the projected major overhaul expense, on a Total Company and Texas jurisdictional basis</w:t>
      </w:r>
      <w:r w:rsidR="00A54788">
        <w:t xml:space="preserve"> for the Palo Verde Nuclear Generating Station units</w:t>
      </w:r>
      <w:proofErr w:type="gramEnd"/>
      <w:r w:rsidR="00A54788">
        <w:t xml:space="preserve">. </w:t>
      </w:r>
    </w:p>
    <w:p w:rsidR="0037578A" w:rsidRDefault="0037578A" w:rsidP="0037578A">
      <w:pPr>
        <w:pStyle w:val="Default"/>
        <w:ind w:left="540"/>
        <w:jc w:val="both"/>
      </w:pPr>
    </w:p>
    <w:p w:rsidR="00937645" w:rsidRPr="00937645" w:rsidRDefault="00937645" w:rsidP="00937645">
      <w:pPr>
        <w:pStyle w:val="Default"/>
        <w:ind w:left="540"/>
        <w:jc w:val="both"/>
        <w:rPr>
          <w:color w:val="auto"/>
        </w:rPr>
      </w:pPr>
      <w:r w:rsidRPr="00937645">
        <w:rPr>
          <w:color w:val="auto"/>
        </w:rPr>
        <w:t xml:space="preserve">The expenses included in </w:t>
      </w:r>
      <w:r w:rsidR="000E5D44">
        <w:rPr>
          <w:color w:val="auto"/>
        </w:rPr>
        <w:t>the</w:t>
      </w:r>
      <w:r w:rsidRPr="00937645">
        <w:rPr>
          <w:color w:val="auto"/>
        </w:rPr>
        <w:t xml:space="preserve"> </w:t>
      </w:r>
      <w:r w:rsidR="00072973">
        <w:rPr>
          <w:color w:val="auto"/>
        </w:rPr>
        <w:t>a</w:t>
      </w:r>
      <w:r w:rsidRPr="00937645">
        <w:rPr>
          <w:color w:val="auto"/>
        </w:rPr>
        <w:t xml:space="preserve">ttachments are allocated to the Texas Jurisdiction with the allocation factors as currently presented in the Texas cost of service.  </w:t>
      </w:r>
    </w:p>
    <w:p w:rsidR="00A858D7" w:rsidRDefault="00A858D7" w:rsidP="00AC0F20">
      <w:pPr>
        <w:pStyle w:val="Default"/>
        <w:tabs>
          <w:tab w:val="left" w:pos="720"/>
          <w:tab w:val="left" w:pos="900"/>
        </w:tabs>
        <w:jc w:val="both"/>
        <w:rPr>
          <w:color w:val="auto"/>
        </w:rPr>
      </w:pPr>
    </w:p>
    <w:p w:rsidR="00B86808" w:rsidRPr="00937645" w:rsidRDefault="00B86808" w:rsidP="00AC0F20">
      <w:pPr>
        <w:pStyle w:val="Default"/>
        <w:tabs>
          <w:tab w:val="left" w:pos="720"/>
          <w:tab w:val="left" w:pos="900"/>
        </w:tabs>
        <w:jc w:val="both"/>
        <w:rPr>
          <w:color w:val="auto"/>
        </w:rPr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7578A">
        <w:rPr>
          <w:rFonts w:ascii="Times New Roman" w:hAnsi="Times New Roman" w:cs="Times New Roman"/>
          <w:sz w:val="24"/>
          <w:szCs w:val="24"/>
        </w:rPr>
        <w:t>Chad Kline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37578A">
        <w:rPr>
          <w:rFonts w:ascii="Times New Roman" w:hAnsi="Times New Roman" w:cs="Times New Roman"/>
          <w:sz w:val="24"/>
          <w:szCs w:val="24"/>
        </w:rPr>
        <w:t>Manager – Outages &amp; Generation Projects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59638E">
        <w:rPr>
          <w:rFonts w:ascii="Times New Roman" w:hAnsi="Times New Roman" w:cs="Times New Roman"/>
          <w:sz w:val="24"/>
          <w:szCs w:val="24"/>
        </w:rPr>
        <w:t>Andres R.</w:t>
      </w:r>
      <w:r w:rsidR="00194827">
        <w:rPr>
          <w:rFonts w:ascii="Times New Roman" w:hAnsi="Times New Roman" w:cs="Times New Roman"/>
          <w:sz w:val="24"/>
          <w:szCs w:val="24"/>
        </w:rPr>
        <w:t xml:space="preserve"> Ramirez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194827">
        <w:rPr>
          <w:rFonts w:ascii="Times New Roman" w:hAnsi="Times New Roman" w:cs="Times New Roman"/>
          <w:sz w:val="24"/>
          <w:szCs w:val="24"/>
        </w:rPr>
        <w:t>V</w:t>
      </w:r>
      <w:r w:rsidR="0059638E">
        <w:rPr>
          <w:rFonts w:ascii="Times New Roman" w:hAnsi="Times New Roman" w:cs="Times New Roman"/>
          <w:sz w:val="24"/>
          <w:szCs w:val="24"/>
        </w:rPr>
        <w:t xml:space="preserve">ice </w:t>
      </w:r>
      <w:r w:rsidR="00194827">
        <w:rPr>
          <w:rFonts w:ascii="Times New Roman" w:hAnsi="Times New Roman" w:cs="Times New Roman"/>
          <w:sz w:val="24"/>
          <w:szCs w:val="24"/>
        </w:rPr>
        <w:t>P</w:t>
      </w:r>
      <w:r w:rsidR="0059638E">
        <w:rPr>
          <w:rFonts w:ascii="Times New Roman" w:hAnsi="Times New Roman" w:cs="Times New Roman"/>
          <w:sz w:val="24"/>
          <w:szCs w:val="24"/>
        </w:rPr>
        <w:t>resident-</w:t>
      </w:r>
      <w:r w:rsidR="00194827">
        <w:rPr>
          <w:rFonts w:ascii="Times New Roman" w:hAnsi="Times New Roman" w:cs="Times New Roman"/>
          <w:sz w:val="24"/>
          <w:szCs w:val="24"/>
        </w:rPr>
        <w:t>Power Generation</w:t>
      </w:r>
    </w:p>
    <w:p w:rsidR="00BF256E" w:rsidRDefault="00CC7503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256E">
        <w:rPr>
          <w:rFonts w:ascii="Times New Roman" w:hAnsi="Times New Roman" w:cs="Times New Roman"/>
          <w:sz w:val="24"/>
          <w:szCs w:val="24"/>
        </w:rPr>
        <w:t>J</w:t>
      </w:r>
      <w:r w:rsidR="00D073F7">
        <w:rPr>
          <w:rFonts w:ascii="Times New Roman" w:hAnsi="Times New Roman" w:cs="Times New Roman"/>
          <w:sz w:val="24"/>
          <w:szCs w:val="24"/>
        </w:rPr>
        <w:t>ohn</w:t>
      </w:r>
      <w:r w:rsidR="00BF256E">
        <w:rPr>
          <w:rFonts w:ascii="Times New Roman" w:hAnsi="Times New Roman" w:cs="Times New Roman"/>
          <w:sz w:val="24"/>
          <w:szCs w:val="24"/>
        </w:rPr>
        <w:t xml:space="preserve"> Cadogan</w:t>
      </w:r>
      <w:r w:rsidR="00BF256E">
        <w:rPr>
          <w:rFonts w:ascii="Times New Roman" w:hAnsi="Times New Roman" w:cs="Times New Roman"/>
          <w:sz w:val="24"/>
          <w:szCs w:val="24"/>
        </w:rPr>
        <w:tab/>
      </w:r>
      <w:r w:rsidR="00BF256E">
        <w:rPr>
          <w:rFonts w:ascii="Times New Roman" w:hAnsi="Times New Roman" w:cs="Times New Roman"/>
          <w:sz w:val="24"/>
          <w:szCs w:val="24"/>
        </w:rPr>
        <w:tab/>
        <w:t>S</w:t>
      </w:r>
      <w:r w:rsidR="0059638E">
        <w:rPr>
          <w:rFonts w:ascii="Times New Roman" w:hAnsi="Times New Roman" w:cs="Times New Roman"/>
          <w:sz w:val="24"/>
          <w:szCs w:val="24"/>
        </w:rPr>
        <w:t xml:space="preserve">enior </w:t>
      </w:r>
      <w:r w:rsidR="00BF256E">
        <w:rPr>
          <w:rFonts w:ascii="Times New Roman" w:hAnsi="Times New Roman" w:cs="Times New Roman"/>
          <w:sz w:val="24"/>
          <w:szCs w:val="24"/>
        </w:rPr>
        <w:t>V</w:t>
      </w:r>
      <w:r w:rsidR="0059638E">
        <w:rPr>
          <w:rFonts w:ascii="Times New Roman" w:hAnsi="Times New Roman" w:cs="Times New Roman"/>
          <w:sz w:val="24"/>
          <w:szCs w:val="24"/>
        </w:rPr>
        <w:t xml:space="preserve">ice </w:t>
      </w:r>
      <w:r w:rsidR="00BF256E">
        <w:rPr>
          <w:rFonts w:ascii="Times New Roman" w:hAnsi="Times New Roman" w:cs="Times New Roman"/>
          <w:sz w:val="24"/>
          <w:szCs w:val="24"/>
        </w:rPr>
        <w:t>P</w:t>
      </w:r>
      <w:r w:rsidR="0059638E">
        <w:rPr>
          <w:rFonts w:ascii="Times New Roman" w:hAnsi="Times New Roman" w:cs="Times New Roman"/>
          <w:sz w:val="24"/>
          <w:szCs w:val="24"/>
        </w:rPr>
        <w:t>resident-</w:t>
      </w:r>
      <w:r w:rsidR="00BF256E">
        <w:rPr>
          <w:rFonts w:ascii="Times New Roman" w:hAnsi="Times New Roman" w:cs="Times New Roman"/>
          <w:sz w:val="24"/>
          <w:szCs w:val="24"/>
        </w:rPr>
        <w:t>Site Operations</w:t>
      </w:r>
      <w:r w:rsidR="0059638E">
        <w:rPr>
          <w:rFonts w:ascii="Times New Roman" w:hAnsi="Times New Roman" w:cs="Times New Roman"/>
          <w:sz w:val="24"/>
          <w:szCs w:val="24"/>
        </w:rPr>
        <w:t>-</w:t>
      </w:r>
      <w:r w:rsidR="00BF256E">
        <w:rPr>
          <w:rFonts w:ascii="Times New Roman" w:hAnsi="Times New Roman" w:cs="Times New Roman"/>
          <w:sz w:val="24"/>
          <w:szCs w:val="24"/>
        </w:rPr>
        <w:t>PVNGS</w:t>
      </w:r>
    </w:p>
    <w:p w:rsidR="00577254" w:rsidRPr="00272D2A" w:rsidRDefault="00CC7503" w:rsidP="008E7F01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256E">
        <w:rPr>
          <w:rFonts w:ascii="Times New Roman" w:hAnsi="Times New Roman" w:cs="Times New Roman"/>
          <w:sz w:val="24"/>
          <w:szCs w:val="24"/>
        </w:rPr>
        <w:t>Rene Gonzales</w:t>
      </w:r>
      <w:r w:rsidR="00BF256E">
        <w:rPr>
          <w:rFonts w:ascii="Times New Roman" w:hAnsi="Times New Roman" w:cs="Times New Roman"/>
          <w:sz w:val="24"/>
          <w:szCs w:val="24"/>
        </w:rPr>
        <w:tab/>
      </w:r>
      <w:r w:rsidR="00BF256E">
        <w:rPr>
          <w:rFonts w:ascii="Times New Roman" w:hAnsi="Times New Roman" w:cs="Times New Roman"/>
          <w:sz w:val="24"/>
          <w:szCs w:val="24"/>
        </w:rPr>
        <w:tab/>
      </w:r>
      <w:r w:rsidR="00D073F7" w:rsidRPr="00D073F7">
        <w:rPr>
          <w:rFonts w:ascii="Times New Roman" w:hAnsi="Times New Roman" w:cs="Times New Roman"/>
          <w:sz w:val="24"/>
          <w:szCs w:val="24"/>
        </w:rPr>
        <w:t>Senior Rate Analyst – Rates &amp; Regulatory Affairs</w:t>
      </w: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D9D" w:rsidRDefault="008B3D9D" w:rsidP="00097842">
      <w:pPr>
        <w:spacing w:after="0" w:line="240" w:lineRule="auto"/>
      </w:pPr>
      <w:r>
        <w:separator/>
      </w:r>
    </w:p>
  </w:endnote>
  <w:endnote w:type="continuationSeparator" w:id="0">
    <w:p w:rsidR="008B3D9D" w:rsidRDefault="008B3D9D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D9D" w:rsidRDefault="008B3D9D" w:rsidP="00097842">
      <w:pPr>
        <w:spacing w:after="0" w:line="240" w:lineRule="auto"/>
      </w:pPr>
      <w:r>
        <w:separator/>
      </w:r>
    </w:p>
  </w:footnote>
  <w:footnote w:type="continuationSeparator" w:id="0">
    <w:p w:rsidR="008B3D9D" w:rsidRDefault="008B3D9D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59638E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proofErr w:type="spellStart"/>
    <w:r w:rsidRPr="0059638E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59638E">
      <w:rPr>
        <w:rFonts w:ascii="Times New Roman" w:hAnsi="Times New Roman" w:cs="Times New Roman"/>
        <w:sz w:val="24"/>
        <w:szCs w:val="24"/>
        <w:lang w:val="es-MX"/>
      </w:rPr>
      <w:t>'s</w:t>
    </w:r>
    <w:proofErr w:type="spellEnd"/>
    <w:r w:rsidR="009A79B3" w:rsidRPr="0059638E">
      <w:rPr>
        <w:rFonts w:ascii="Times New Roman" w:hAnsi="Times New Roman" w:cs="Times New Roman"/>
        <w:sz w:val="24"/>
        <w:szCs w:val="24"/>
        <w:lang w:val="es-MX"/>
      </w:rPr>
      <w:t xml:space="preserve"> </w:t>
    </w:r>
    <w:proofErr w:type="spellStart"/>
    <w:r w:rsidR="00AD419E" w:rsidRPr="0059638E">
      <w:rPr>
        <w:rFonts w:ascii="Times New Roman" w:hAnsi="Times New Roman" w:cs="Times New Roman"/>
        <w:sz w:val="24"/>
        <w:szCs w:val="24"/>
        <w:lang w:val="es-MX"/>
      </w:rPr>
      <w:t>3rd</w:t>
    </w:r>
    <w:proofErr w:type="spellEnd"/>
    <w:r w:rsidR="009A79B3" w:rsidRPr="0059638E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59638E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59638E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59638E">
      <w:rPr>
        <w:rFonts w:ascii="Times New Roman" w:hAnsi="Times New Roman" w:cs="Times New Roman"/>
        <w:sz w:val="24"/>
        <w:szCs w:val="24"/>
        <w:lang w:val="es-MX"/>
      </w:rPr>
      <w:t>3</w:t>
    </w:r>
    <w:r w:rsidR="008C01DC" w:rsidRPr="0059638E">
      <w:rPr>
        <w:rFonts w:ascii="Times New Roman" w:hAnsi="Times New Roman" w:cs="Times New Roman"/>
        <w:sz w:val="24"/>
        <w:szCs w:val="24"/>
        <w:lang w:val="es-MX"/>
      </w:rPr>
      <w:t>-</w:t>
    </w:r>
    <w:r w:rsidR="00244DCB" w:rsidRPr="0059638E">
      <w:rPr>
        <w:rFonts w:ascii="Times New Roman" w:hAnsi="Times New Roman" w:cs="Times New Roman"/>
        <w:sz w:val="24"/>
        <w:szCs w:val="24"/>
        <w:lang w:val="es-MX"/>
      </w:rPr>
      <w:t>10</w:t>
    </w:r>
  </w:p>
  <w:p w:rsidR="009A79B3" w:rsidRPr="00725828" w:rsidRDefault="008B3D9D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47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313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590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2973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31C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D44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525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4827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E7540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2415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4DCB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0B4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A685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0D04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058C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78A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2848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27C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3F2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7A0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511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38E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AA4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528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D59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42D3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38D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C61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40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9D"/>
    <w:rsid w:val="008B3DD5"/>
    <w:rsid w:val="008B4228"/>
    <w:rsid w:val="008B5F7A"/>
    <w:rsid w:val="008B6205"/>
    <w:rsid w:val="008C01DC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E7F01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37645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788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1320"/>
    <w:rsid w:val="00B0360B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6808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56E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503"/>
    <w:rsid w:val="00CC7E7A"/>
    <w:rsid w:val="00CD0515"/>
    <w:rsid w:val="00CD0975"/>
    <w:rsid w:val="00CD0CBA"/>
    <w:rsid w:val="00CD1511"/>
    <w:rsid w:val="00CD16F0"/>
    <w:rsid w:val="00CD19E1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073F7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6005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B17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1F26"/>
    <w:rsid w:val="00E221F9"/>
    <w:rsid w:val="00E2265F"/>
    <w:rsid w:val="00E2313B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A7FE5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CB9A-3EDF-475B-AEB9-1BDA15860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2017-04-18T21:53:00Z</dcterms:created>
  <dcterms:modified xsi:type="dcterms:W3CDTF">2017-04-18T21:53:00Z</dcterms:modified>
</cp:coreProperties>
</file>